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21645D02" w:rsidR="00FE4BDB" w:rsidRPr="000633E9" w:rsidRDefault="00FE6B17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 w:rsidRPr="00CC009B">
              <w:rPr>
                <w:b/>
                <w:bCs/>
                <w:sz w:val="72"/>
                <w:szCs w:val="72"/>
              </w:rPr>
              <w:t>ASIS Monthly Meeting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224E0422" w:rsidR="00FE4BDB" w:rsidRPr="00E17960" w:rsidRDefault="0055103B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APril &amp; May</w:t>
            </w:r>
            <w:r w:rsidR="00121580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121580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  <w:tr w:rsidR="00A62AD4" w:rsidRPr="00A62AD4" w14:paraId="4A7FCB9B" w14:textId="77777777" w:rsidTr="00161318">
        <w:trPr>
          <w:trHeight w:val="7551"/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0B42636D" w14:textId="5FE72673" w:rsidR="00FE6B17" w:rsidRDefault="0055103B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 xml:space="preserve">April </w:t>
            </w:r>
            <w:r w:rsidR="00121580">
              <w:rPr>
                <w:b/>
                <w:bCs/>
                <w:color w:val="0042C7" w:themeColor="text1" w:themeTint="BF"/>
                <w:szCs w:val="28"/>
              </w:rPr>
              <w:t>Chapter Meeting Review</w:t>
            </w:r>
            <w:r w:rsidR="00E17960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</w:p>
          <w:p w14:paraId="02078974" w14:textId="725B9900" w:rsidR="00A86CB5" w:rsidRDefault="00157F42" w:rsidP="00A86CB5">
            <w:pPr>
              <w:rPr>
                <w:rFonts w:cs="Calibri"/>
                <w:sz w:val="22"/>
                <w:szCs w:val="22"/>
              </w:rPr>
            </w:pPr>
            <w:r w:rsidRPr="0094106E">
              <w:rPr>
                <w:rFonts w:cs="Calibri"/>
                <w:sz w:val="22"/>
                <w:szCs w:val="22"/>
              </w:rPr>
              <w:t xml:space="preserve">Michael </w:t>
            </w:r>
            <w:proofErr w:type="spellStart"/>
            <w:r w:rsidRPr="0094106E">
              <w:rPr>
                <w:rFonts w:cs="Calibri"/>
                <w:sz w:val="22"/>
                <w:szCs w:val="22"/>
              </w:rPr>
              <w:t>Gips</w:t>
            </w:r>
            <w:proofErr w:type="spellEnd"/>
            <w:r w:rsidRPr="0094106E">
              <w:rPr>
                <w:rFonts w:cs="Calibri"/>
                <w:sz w:val="22"/>
                <w:szCs w:val="22"/>
              </w:rPr>
              <w:t xml:space="preserve">, </w:t>
            </w:r>
            <w:r w:rsidRPr="0094106E">
              <w:rPr>
                <w:rFonts w:eastAsia="Times New Roman" w:cs="Calibri"/>
                <w:color w:val="202020"/>
                <w:sz w:val="22"/>
                <w:szCs w:val="22"/>
              </w:rPr>
              <w:t xml:space="preserve">JD, CPP, </w:t>
            </w:r>
            <w:proofErr w:type="spellStart"/>
            <w:r w:rsidRPr="0094106E">
              <w:rPr>
                <w:rFonts w:eastAsia="Times New Roman" w:cs="Calibri"/>
                <w:color w:val="202020"/>
                <w:sz w:val="22"/>
                <w:szCs w:val="22"/>
              </w:rPr>
              <w:t>CSyP</w:t>
            </w:r>
            <w:proofErr w:type="spellEnd"/>
            <w:r w:rsidRPr="0094106E">
              <w:rPr>
                <w:rFonts w:eastAsia="Times New Roman" w:cs="Calibri"/>
                <w:color w:val="202020"/>
                <w:sz w:val="22"/>
                <w:szCs w:val="22"/>
              </w:rPr>
              <w:t>, CAE</w:t>
            </w:r>
            <w:r w:rsidRPr="0094106E">
              <w:rPr>
                <w:rFonts w:cs="Calibri"/>
                <w:sz w:val="22"/>
                <w:szCs w:val="22"/>
              </w:rPr>
              <w:t xml:space="preserve">CPP </w:t>
            </w:r>
            <w:r w:rsidR="00D71419">
              <w:rPr>
                <w:rFonts w:cs="Calibri"/>
                <w:sz w:val="22"/>
                <w:szCs w:val="22"/>
              </w:rPr>
              <w:t xml:space="preserve">finished </w:t>
            </w:r>
            <w:r w:rsidRPr="0094106E">
              <w:rPr>
                <w:rFonts w:cs="Calibri"/>
                <w:sz w:val="22"/>
                <w:szCs w:val="22"/>
              </w:rPr>
              <w:t xml:space="preserve"> his two-part series discussing protective intelligence. </w:t>
            </w:r>
          </w:p>
          <w:p w14:paraId="3F09870B" w14:textId="52C32227" w:rsidR="00D71419" w:rsidRDefault="00D71419" w:rsidP="00A86CB5">
            <w:pPr>
              <w:rPr>
                <w:rFonts w:cs="Calibri"/>
                <w:sz w:val="22"/>
                <w:szCs w:val="22"/>
              </w:rPr>
            </w:pPr>
          </w:p>
          <w:p w14:paraId="20D8774C" w14:textId="0ED80354" w:rsidR="00D71419" w:rsidRDefault="00D71419" w:rsidP="00D71419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 xml:space="preserve">May Chapter Meeting Review </w:t>
            </w:r>
          </w:p>
          <w:p w14:paraId="100467F7" w14:textId="494D8427" w:rsidR="00D71419" w:rsidRPr="00D71419" w:rsidRDefault="00D71419" w:rsidP="00D71419">
            <w:r w:rsidRPr="00161318">
              <w:rPr>
                <w:sz w:val="22"/>
                <w:szCs w:val="22"/>
              </w:rPr>
              <w:t>Joshua Villines, CPP, PSP, PSI, ICPS</w:t>
            </w:r>
            <w:r>
              <w:rPr>
                <w:sz w:val="22"/>
                <w:szCs w:val="22"/>
              </w:rPr>
              <w:t>; discussed u</w:t>
            </w:r>
            <w:r w:rsidRPr="00161318">
              <w:rPr>
                <w:sz w:val="22"/>
                <w:szCs w:val="22"/>
              </w:rPr>
              <w:t>nderstanding the threat risk profile when protecting soft targets and executives.</w:t>
            </w:r>
          </w:p>
          <w:p w14:paraId="23020DCF" w14:textId="77777777" w:rsidR="00D71419" w:rsidRDefault="00D71419" w:rsidP="00A86CB5">
            <w:pPr>
              <w:rPr>
                <w:rFonts w:cs="Calibri"/>
                <w:sz w:val="22"/>
                <w:szCs w:val="22"/>
              </w:rPr>
            </w:pPr>
          </w:p>
          <w:p w14:paraId="0E6BA01E" w14:textId="0E23D244" w:rsidR="000C52CB" w:rsidRPr="00A272E5" w:rsidRDefault="000C52CB" w:rsidP="000C52CB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CALL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FOR</w:t>
            </w:r>
            <w:r w:rsidR="00E056F0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 w:rsidR="00900778">
              <w:rPr>
                <w:b/>
                <w:bCs/>
                <w:color w:val="0042C7" w:themeColor="text1" w:themeTint="BF"/>
                <w:sz w:val="28"/>
                <w:szCs w:val="28"/>
              </w:rPr>
              <w:t>VOLUNTEER WEBSITE ADMINISTRATOR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!  </w:t>
            </w:r>
          </w:p>
          <w:p w14:paraId="23F7A2F9" w14:textId="5E8C051C" w:rsidR="00A86CB5" w:rsidRPr="0094106E" w:rsidRDefault="000C52CB" w:rsidP="00984996">
            <w:pPr>
              <w:pStyle w:val="Heading3"/>
              <w:outlineLvl w:val="2"/>
              <w:rPr>
                <w:color w:val="000000"/>
                <w:sz w:val="22"/>
                <w:szCs w:val="22"/>
              </w:rPr>
            </w:pPr>
            <w:r w:rsidRPr="0094106E">
              <w:rPr>
                <w:color w:val="000000"/>
                <w:sz w:val="22"/>
                <w:szCs w:val="22"/>
              </w:rPr>
              <w:t xml:space="preserve">Contact us at </w:t>
            </w:r>
            <w:hyperlink r:id="rId8" w:history="1">
              <w:r w:rsidRPr="0094106E">
                <w:rPr>
                  <w:rStyle w:val="Hyperlink"/>
                  <w:sz w:val="22"/>
                  <w:szCs w:val="22"/>
                </w:rPr>
                <w:t>asis.atlanta@gmail.com</w:t>
              </w:r>
            </w:hyperlink>
            <w:r w:rsidRPr="0094106E">
              <w:rPr>
                <w:color w:val="000000"/>
                <w:sz w:val="22"/>
                <w:szCs w:val="22"/>
              </w:rPr>
              <w:t xml:space="preserve"> if you are interested in </w:t>
            </w:r>
            <w:r w:rsidR="00900778">
              <w:rPr>
                <w:color w:val="000000"/>
                <w:sz w:val="22"/>
                <w:szCs w:val="22"/>
              </w:rPr>
              <w:t xml:space="preserve">helping our Board of Directors keep our website current with the chapter’s activities and information. </w:t>
            </w:r>
            <w:r w:rsidR="006C02F7" w:rsidRPr="0094106E">
              <w:rPr>
                <w:color w:val="000000"/>
                <w:sz w:val="22"/>
                <w:szCs w:val="22"/>
              </w:rPr>
              <w:t xml:space="preserve"> </w:t>
            </w:r>
          </w:p>
          <w:p w14:paraId="56BEEC88" w14:textId="77777777" w:rsidR="00157F42" w:rsidRDefault="00157F42" w:rsidP="00157F42"/>
          <w:p w14:paraId="17DBC5A8" w14:textId="11A9D579" w:rsidR="0063339F" w:rsidRDefault="0063339F" w:rsidP="00157F42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63339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LEAD 2021 </w:t>
            </w:r>
          </w:p>
          <w:p w14:paraId="01306886" w14:textId="3B85FA40" w:rsidR="00157F42" w:rsidRDefault="00D4379D" w:rsidP="00D4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be hosting our scaled down LEAD event on August 25, 2021at the Metropolitan Club from 10:30am – 1:00pm. </w:t>
            </w:r>
            <w:r w:rsidR="002C5EBB">
              <w:rPr>
                <w:sz w:val="22"/>
                <w:szCs w:val="22"/>
              </w:rPr>
              <w:t>V</w:t>
            </w:r>
            <w:r w:rsidR="0055103B">
              <w:rPr>
                <w:sz w:val="22"/>
                <w:szCs w:val="22"/>
              </w:rPr>
              <w:t xml:space="preserve">isit: </w:t>
            </w:r>
            <w:hyperlink r:id="rId9" w:history="1">
              <w:r w:rsidR="00D71419" w:rsidRPr="00041FC6">
                <w:rPr>
                  <w:rStyle w:val="Hyperlink"/>
                  <w:sz w:val="22"/>
                  <w:szCs w:val="22"/>
                </w:rPr>
                <w:t>https://www.asisatl.org/lead</w:t>
              </w:r>
            </w:hyperlink>
            <w:r w:rsidR="00D71419">
              <w:rPr>
                <w:sz w:val="22"/>
                <w:szCs w:val="22"/>
              </w:rPr>
              <w:t xml:space="preserve"> to learn more </w:t>
            </w:r>
            <w:r>
              <w:rPr>
                <w:sz w:val="22"/>
                <w:szCs w:val="22"/>
              </w:rPr>
              <w:t xml:space="preserve">regarding </w:t>
            </w:r>
            <w:r w:rsidR="00EA4B14">
              <w:rPr>
                <w:sz w:val="22"/>
                <w:szCs w:val="22"/>
              </w:rPr>
              <w:t xml:space="preserve">sponsorship opportunities to </w:t>
            </w:r>
            <w:r w:rsidR="002C5EBB">
              <w:rPr>
                <w:sz w:val="22"/>
                <w:szCs w:val="22"/>
              </w:rPr>
              <w:t xml:space="preserve">help </w:t>
            </w:r>
            <w:r w:rsidR="00EA4B14">
              <w:rPr>
                <w:sz w:val="22"/>
                <w:szCs w:val="22"/>
              </w:rPr>
              <w:t xml:space="preserve">make this event a success.  </w:t>
            </w:r>
            <w:r w:rsidR="00A566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6085ADE" w14:textId="0992B2F8" w:rsidR="002C5EBB" w:rsidRDefault="002C5EBB" w:rsidP="00D4379D">
            <w:pPr>
              <w:rPr>
                <w:sz w:val="22"/>
                <w:szCs w:val="22"/>
              </w:rPr>
            </w:pPr>
          </w:p>
          <w:p w14:paraId="5BE89009" w14:textId="26D7DB21" w:rsidR="002C5EBB" w:rsidRDefault="002C5EBB" w:rsidP="00D4379D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CHAPTER NEWSLETTERS</w:t>
            </w:r>
          </w:p>
          <w:p w14:paraId="41FE532F" w14:textId="296D42EE" w:rsidR="002C5EBB" w:rsidRPr="002C5EBB" w:rsidRDefault="002C5EBB" w:rsidP="00D4379D">
            <w:pPr>
              <w:rPr>
                <w:color w:val="0042C7" w:themeColor="text1" w:themeTint="BF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Visit </w:t>
            </w:r>
            <w:hyperlink r:id="rId10" w:history="1">
              <w:r w:rsidRPr="00EA4B14"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>
              <w:rPr>
                <w:rStyle w:val="Hyperlink"/>
                <w:rFonts w:eastAsia="Times New Roman"/>
                <w:color w:val="007C89"/>
                <w:sz w:val="22"/>
                <w:szCs w:val="22"/>
                <w:u w:val="none"/>
              </w:rPr>
              <w:t xml:space="preserve"> </w:t>
            </w:r>
            <w:r w:rsidRPr="002C5EBB">
              <w:rPr>
                <w:rStyle w:val="Hyperlink"/>
                <w:rFonts w:eastAsia="Times New Roman"/>
                <w:color w:val="auto"/>
                <w:sz w:val="22"/>
                <w:szCs w:val="22"/>
                <w:u w:val="none"/>
              </w:rPr>
              <w:t>under the “More” tab.</w:t>
            </w:r>
          </w:p>
          <w:p w14:paraId="29B97F6F" w14:textId="77777777" w:rsidR="00D4379D" w:rsidRDefault="00D4379D" w:rsidP="00D4379D">
            <w:pPr>
              <w:rPr>
                <w:sz w:val="22"/>
                <w:szCs w:val="22"/>
              </w:rPr>
            </w:pPr>
          </w:p>
          <w:p w14:paraId="2E863C36" w14:textId="77777777" w:rsidR="00E056F0" w:rsidRDefault="00E056F0" w:rsidP="00E056F0">
            <w:pPr>
              <w:pStyle w:val="NoSpacing"/>
              <w:tabs>
                <w:tab w:val="left" w:pos="6960"/>
              </w:tabs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2021 IN PERSON LUNCHEON CHAPTER MEETINGS</w:t>
            </w:r>
          </w:p>
          <w:p w14:paraId="6EC0AE2B" w14:textId="77777777" w:rsidR="00E056F0" w:rsidRPr="00161318" w:rsidRDefault="00E056F0" w:rsidP="00E056F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June 16th</w:t>
            </w:r>
            <w:r w:rsidRPr="00161318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Pr="00161318">
              <w:rPr>
                <w:i/>
                <w:iCs/>
                <w:color w:val="0042C7" w:themeColor="text1" w:themeTint="BF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Greater </w:t>
            </w:r>
            <w:r w:rsidRPr="00E056F0">
              <w:rPr>
                <w:sz w:val="22"/>
                <w:szCs w:val="22"/>
              </w:rPr>
              <w:t>Atlanta ASIS , Vice Chair Justin DeMone, Avigilon / Motorola Solutions)</w:t>
            </w:r>
            <w:r>
              <w:rPr>
                <w:sz w:val="22"/>
                <w:szCs w:val="22"/>
              </w:rPr>
              <w:t xml:space="preserve">: Understanding </w:t>
            </w:r>
            <w:r w:rsidRPr="00E056F0">
              <w:rPr>
                <w:sz w:val="22"/>
                <w:szCs w:val="22"/>
              </w:rPr>
              <w:t xml:space="preserve">the current trends in security surveillance. </w:t>
            </w:r>
            <w:r w:rsidRPr="00161318">
              <w:rPr>
                <w:sz w:val="22"/>
                <w:szCs w:val="22"/>
              </w:rPr>
              <w:t>(.75 CPE Credit)</w:t>
            </w:r>
          </w:p>
          <w:p w14:paraId="70E69D8E" w14:textId="77777777" w:rsidR="00E056F0" w:rsidRPr="00621E09" w:rsidRDefault="00E056F0" w:rsidP="00E056F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July 21rst</w:t>
            </w:r>
            <w:r w:rsidRPr="00161318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 w:rsidRPr="00E056F0">
              <w:rPr>
                <w:sz w:val="22"/>
                <w:szCs w:val="22"/>
              </w:rPr>
              <w:t>Chris Reider</w:t>
            </w:r>
            <w:r w:rsidRPr="00161318">
              <w:rPr>
                <w:sz w:val="22"/>
                <w:szCs w:val="22"/>
              </w:rPr>
              <w:t xml:space="preserve">, CPP, PSP, PSI, ICPS: Understanding </w:t>
            </w:r>
            <w:r>
              <w:rPr>
                <w:sz w:val="22"/>
                <w:szCs w:val="22"/>
              </w:rPr>
              <w:t xml:space="preserve">how </w:t>
            </w:r>
            <w:proofErr w:type="spellStart"/>
            <w:r>
              <w:rPr>
                <w:sz w:val="22"/>
                <w:szCs w:val="22"/>
              </w:rPr>
              <w:t>Hyperautomation</w:t>
            </w:r>
            <w:proofErr w:type="spellEnd"/>
            <w:r>
              <w:rPr>
                <w:sz w:val="22"/>
                <w:szCs w:val="22"/>
              </w:rPr>
              <w:t xml:space="preserve"> is changing the security industry. </w:t>
            </w:r>
            <w:r w:rsidRPr="00161318">
              <w:rPr>
                <w:sz w:val="22"/>
                <w:szCs w:val="22"/>
              </w:rPr>
              <w:t>(.75 CPE Credit)</w:t>
            </w:r>
          </w:p>
          <w:p w14:paraId="7FBB7241" w14:textId="23DBF821" w:rsidR="00031B80" w:rsidRPr="00031B80" w:rsidRDefault="00E056F0" w:rsidP="00E056F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Visit </w:t>
            </w:r>
            <w:hyperlink r:id="rId11" w:history="1">
              <w:r w:rsidRPr="00EA4B14"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 w:rsidRPr="00EA4B14">
              <w:rPr>
                <w:rFonts w:eastAsia="Times New Roman"/>
                <w:sz w:val="22"/>
                <w:szCs w:val="22"/>
              </w:rPr>
              <w:t> under the “Chapter Events” tab to register</w:t>
            </w:r>
            <w:r w:rsidR="002C5EBB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106193E5" w14:textId="16A610D9" w:rsidR="00A566B3" w:rsidRPr="00031B80" w:rsidRDefault="00E056F0" w:rsidP="00E056F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031B80">
              <w:rPr>
                <w:sz w:val="22"/>
                <w:szCs w:val="22"/>
              </w:rPr>
              <w:t>The meetings will be held at Maggiano'</w:t>
            </w:r>
            <w:r w:rsidR="002C5EBB">
              <w:rPr>
                <w:sz w:val="22"/>
                <w:szCs w:val="22"/>
              </w:rPr>
              <w:t xml:space="preserve">s. </w:t>
            </w:r>
            <w:r w:rsidR="00031B80">
              <w:rPr>
                <w:sz w:val="22"/>
                <w:szCs w:val="22"/>
              </w:rPr>
              <w:t xml:space="preserve">The </w:t>
            </w:r>
            <w:r w:rsidRPr="00031B80">
              <w:rPr>
                <w:sz w:val="22"/>
                <w:szCs w:val="22"/>
              </w:rPr>
              <w:t xml:space="preserve">$40.00 ticket price </w:t>
            </w:r>
            <w:r w:rsidR="002C5EBB">
              <w:rPr>
                <w:sz w:val="22"/>
                <w:szCs w:val="22"/>
              </w:rPr>
              <w:t xml:space="preserve">includes </w:t>
            </w:r>
            <w:r w:rsidRPr="00031B80">
              <w:rPr>
                <w:sz w:val="22"/>
                <w:szCs w:val="22"/>
              </w:rPr>
              <w:t>lunch</w:t>
            </w:r>
            <w:r w:rsidR="002C5EBB">
              <w:rPr>
                <w:sz w:val="22"/>
                <w:szCs w:val="22"/>
              </w:rPr>
              <w:t xml:space="preserve"> and beverages. </w:t>
            </w:r>
          </w:p>
          <w:p w14:paraId="7855B8A0" w14:textId="6CA1211C" w:rsidR="00031B80" w:rsidRPr="00031B80" w:rsidRDefault="00031B80" w:rsidP="00E056F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</w:rPr>
            </w:pPr>
            <w:r w:rsidRPr="00031B80">
              <w:rPr>
                <w:b/>
                <w:bCs/>
                <w:color w:val="0042C7" w:themeColor="text1" w:themeTint="BF"/>
              </w:rPr>
              <w:t>Come join us for these great in-person networking and CPE educational opportunities!</w:t>
            </w:r>
          </w:p>
          <w:p w14:paraId="68BFA8A1" w14:textId="3DD3AE66" w:rsidR="00A566B3" w:rsidRPr="00A566B3" w:rsidRDefault="00A566B3" w:rsidP="00D71419">
            <w:pPr>
              <w:pStyle w:val="ListParagraph"/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46A8F48D" w14:textId="77777777" w:rsidR="00621E09" w:rsidRDefault="00DC499A" w:rsidP="00621E09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Treasurer’s Report </w:t>
            </w:r>
          </w:p>
          <w:p w14:paraId="14730C76" w14:textId="485D7FBB" w:rsidR="00EA4B14" w:rsidRDefault="00EA4B14" w:rsidP="00621E09">
            <w:pPr>
              <w:rPr>
                <w:sz w:val="22"/>
                <w:szCs w:val="22"/>
              </w:rPr>
            </w:pPr>
            <w:r w:rsidRPr="00E056F0">
              <w:rPr>
                <w:sz w:val="22"/>
                <w:szCs w:val="22"/>
              </w:rPr>
              <w:t>As of May 25, 2021, the Chapter Wells Fargo account balance was $14,253.57. The largest expense occurred on May 20</w:t>
            </w:r>
            <w:r w:rsidR="00621E09" w:rsidRPr="00E056F0">
              <w:rPr>
                <w:sz w:val="22"/>
                <w:szCs w:val="22"/>
                <w:vertAlign w:val="superscript"/>
              </w:rPr>
              <w:t>th</w:t>
            </w:r>
            <w:r w:rsidR="00621E09" w:rsidRPr="00E056F0">
              <w:rPr>
                <w:sz w:val="22"/>
                <w:szCs w:val="22"/>
              </w:rPr>
              <w:t xml:space="preserve"> </w:t>
            </w:r>
            <w:r w:rsidRPr="00E056F0">
              <w:rPr>
                <w:sz w:val="22"/>
                <w:szCs w:val="22"/>
              </w:rPr>
              <w:t>for a $2,000.00 payment to the</w:t>
            </w:r>
            <w:r w:rsidR="00621E09" w:rsidRPr="00E056F0">
              <w:rPr>
                <w:sz w:val="22"/>
                <w:szCs w:val="22"/>
              </w:rPr>
              <w:t xml:space="preserve"> </w:t>
            </w:r>
            <w:r w:rsidRPr="00E056F0">
              <w:rPr>
                <w:sz w:val="22"/>
                <w:szCs w:val="22"/>
              </w:rPr>
              <w:t>Metropolitan Club towards our LEAD Event. Other expenses include our recurring monthly Mail Chimp fee of $20.99 and $50.00 for a total of two ($25.00) gift cards for speakers.  The PayPal account had a balance of $1,222.39.  Combined total chapter funds currently are $15,475.96. The 2021 LEAD event third and final payment is due on July 25</w:t>
            </w:r>
            <w:r w:rsidR="00621E09" w:rsidRPr="00E056F0">
              <w:rPr>
                <w:sz w:val="22"/>
                <w:szCs w:val="22"/>
              </w:rPr>
              <w:t>th</w:t>
            </w:r>
            <w:r w:rsidRPr="00E056F0">
              <w:rPr>
                <w:sz w:val="22"/>
                <w:szCs w:val="22"/>
              </w:rPr>
              <w:t xml:space="preserve"> for $2,245.15 to the Metropolitan Club.   </w:t>
            </w:r>
          </w:p>
          <w:p w14:paraId="45F9FC41" w14:textId="77777777" w:rsidR="00E056F0" w:rsidRPr="00E056F0" w:rsidRDefault="00E056F0" w:rsidP="00621E09">
            <w:p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</w:p>
          <w:p w14:paraId="694781A6" w14:textId="080BBD9A" w:rsidR="00031B80" w:rsidRPr="00E056F0" w:rsidRDefault="00161318" w:rsidP="00031B80">
            <w:pPr>
              <w:pStyle w:val="NoSpacing"/>
              <w:tabs>
                <w:tab w:val="left" w:pos="6960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2021 </w:t>
            </w:r>
            <w:r w:rsidR="00031B80">
              <w:rPr>
                <w:b/>
                <w:bCs/>
                <w:color w:val="0042C7" w:themeColor="text1" w:themeTint="BF"/>
                <w:sz w:val="28"/>
                <w:szCs w:val="28"/>
              </w:rPr>
              <w:t>VIRTUAL TWO-HOUR CPE</w:t>
            </w:r>
          </w:p>
          <w:p w14:paraId="4AABEC67" w14:textId="69E6E3E1" w:rsidR="00031B80" w:rsidRDefault="00031B80" w:rsidP="00031B80">
            <w:pPr>
              <w:pStyle w:val="ListParagraph"/>
              <w:numPr>
                <w:ilvl w:val="0"/>
                <w:numId w:val="22"/>
              </w:numPr>
              <w:spacing w:line="254" w:lineRule="auto"/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June 24th:</w:t>
            </w:r>
            <w:r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Noon – 2pm. Mr. Chris Reider, CPP will outline  an action plan managers can execute to marry their cybersecurity and physical security programs. </w:t>
            </w:r>
          </w:p>
          <w:p w14:paraId="40990721" w14:textId="40A03A25" w:rsidR="00031B80" w:rsidRDefault="00031B80" w:rsidP="00031B80">
            <w:pPr>
              <w:pStyle w:val="ListParagraph"/>
              <w:numPr>
                <w:ilvl w:val="0"/>
                <w:numId w:val="22"/>
              </w:numPr>
              <w:spacing w:line="254" w:lineRule="auto"/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July 29</w:t>
            </w: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Noon – 2pm</w:t>
            </w:r>
            <w:r>
              <w:rPr>
                <w:rFonts w:eastAsia="Times New Roman"/>
                <w:sz w:val="22"/>
                <w:szCs w:val="22"/>
              </w:rPr>
              <w:t xml:space="preserve">. Mr. Murray Montgomery will provide practical steps managers can implement in protecting their individual and organization's identity. </w:t>
            </w:r>
          </w:p>
          <w:p w14:paraId="4BFD2BA2" w14:textId="259C2F11" w:rsidR="00E056F0" w:rsidRPr="00031B80" w:rsidRDefault="00031B80" w:rsidP="00031B80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You will obtain 2 hours of CPE credits for each event that will cost $25 per person.  Visit </w:t>
            </w:r>
            <w:hyperlink r:id="rId12" w:history="1">
              <w:r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>
              <w:rPr>
                <w:rFonts w:eastAsia="Times New Roman"/>
                <w:sz w:val="22"/>
                <w:szCs w:val="22"/>
              </w:rPr>
              <w:t xml:space="preserve"> under the “Chapter Events” tab to register. We look forward to seeing you </w:t>
            </w:r>
            <w:r w:rsidR="00900778">
              <w:rPr>
                <w:rFonts w:eastAsia="Times New Roman"/>
                <w:sz w:val="22"/>
                <w:szCs w:val="22"/>
              </w:rPr>
              <w:t>at these events</w:t>
            </w:r>
            <w:r>
              <w:rPr>
                <w:rFonts w:eastAsia="Times New Roman"/>
                <w:sz w:val="22"/>
                <w:szCs w:val="22"/>
              </w:rPr>
              <w:t xml:space="preserve">! </w:t>
            </w:r>
          </w:p>
        </w:tc>
      </w:tr>
      <w:tr w:rsidR="0094106E" w:rsidRPr="00A62AD4" w14:paraId="22A234C9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301A937A" w14:textId="77777777" w:rsidR="0094106E" w:rsidRDefault="0094106E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06987A8D" w14:textId="3E4162C0" w:rsidR="0094106E" w:rsidRPr="00161318" w:rsidRDefault="0094106E" w:rsidP="00161318">
            <w:pPr>
              <w:pStyle w:val="ListParagraph"/>
              <w:rPr>
                <w:b/>
                <w:bCs/>
                <w:color w:val="0042C7" w:themeColor="text1" w:themeTint="BF"/>
                <w:sz w:val="28"/>
                <w:szCs w:val="28"/>
              </w:rPr>
            </w:pPr>
          </w:p>
        </w:tc>
      </w:tr>
    </w:tbl>
    <w:p w14:paraId="16FC358E" w14:textId="4A5339C5" w:rsidR="0094106E" w:rsidRPr="0094106E" w:rsidRDefault="0094106E" w:rsidP="00A566B3">
      <w:pPr>
        <w:pStyle w:val="NoSpacing"/>
        <w:tabs>
          <w:tab w:val="left" w:pos="6960"/>
        </w:tabs>
        <w:rPr>
          <w:b/>
          <w:bCs/>
          <w:color w:val="0042C7" w:themeColor="text1" w:themeTint="BF"/>
        </w:rPr>
      </w:pPr>
    </w:p>
    <w:sectPr w:rsidR="0094106E" w:rsidRPr="0094106E" w:rsidSect="00C437F0">
      <w:footerReference w:type="default" r:id="rId13"/>
      <w:footerReference w:type="first" r:id="rId14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36C1" w14:textId="77777777" w:rsidR="00F42316" w:rsidRDefault="00F42316">
      <w:pPr>
        <w:spacing w:after="0" w:line="240" w:lineRule="auto"/>
      </w:pPr>
      <w:r>
        <w:separator/>
      </w:r>
    </w:p>
  </w:endnote>
  <w:endnote w:type="continuationSeparator" w:id="0">
    <w:p w14:paraId="1F777E90" w14:textId="77777777" w:rsidR="00F42316" w:rsidRDefault="00F4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D29" w14:textId="4B725346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 Chair</w:t>
    </w:r>
    <w:r>
      <w:rPr>
        <w:sz w:val="18"/>
        <w:szCs w:val="18"/>
      </w:rPr>
      <w:tab/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78518E9C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ADD9" w14:textId="77777777" w:rsidR="00F42316" w:rsidRDefault="00F42316">
      <w:pPr>
        <w:spacing w:after="0" w:line="240" w:lineRule="auto"/>
      </w:pPr>
      <w:r>
        <w:separator/>
      </w:r>
    </w:p>
  </w:footnote>
  <w:footnote w:type="continuationSeparator" w:id="0">
    <w:p w14:paraId="313F38EC" w14:textId="77777777" w:rsidR="00F42316" w:rsidRDefault="00F4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595"/>
    <w:multiLevelType w:val="hybridMultilevel"/>
    <w:tmpl w:val="8C8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04A4"/>
    <w:multiLevelType w:val="hybridMultilevel"/>
    <w:tmpl w:val="5C50E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D632F"/>
    <w:multiLevelType w:val="hybridMultilevel"/>
    <w:tmpl w:val="EE9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9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02C58"/>
    <w:rsid w:val="00031B80"/>
    <w:rsid w:val="000351C0"/>
    <w:rsid w:val="00042341"/>
    <w:rsid w:val="000633E9"/>
    <w:rsid w:val="000C52CB"/>
    <w:rsid w:val="00100D93"/>
    <w:rsid w:val="00121580"/>
    <w:rsid w:val="00157F42"/>
    <w:rsid w:val="00161318"/>
    <w:rsid w:val="001635C3"/>
    <w:rsid w:val="001E0778"/>
    <w:rsid w:val="001E6757"/>
    <w:rsid w:val="00212FC8"/>
    <w:rsid w:val="00254324"/>
    <w:rsid w:val="00286C4A"/>
    <w:rsid w:val="002A0DE8"/>
    <w:rsid w:val="002A752A"/>
    <w:rsid w:val="002B5081"/>
    <w:rsid w:val="002C26D2"/>
    <w:rsid w:val="002C5EBB"/>
    <w:rsid w:val="002D2723"/>
    <w:rsid w:val="003045BA"/>
    <w:rsid w:val="00304A51"/>
    <w:rsid w:val="00325C03"/>
    <w:rsid w:val="003602B6"/>
    <w:rsid w:val="00360769"/>
    <w:rsid w:val="003640D2"/>
    <w:rsid w:val="00373061"/>
    <w:rsid w:val="00386934"/>
    <w:rsid w:val="0039607E"/>
    <w:rsid w:val="003A1681"/>
    <w:rsid w:val="003C1DBE"/>
    <w:rsid w:val="003C35E2"/>
    <w:rsid w:val="003F34EC"/>
    <w:rsid w:val="003F3E31"/>
    <w:rsid w:val="00437D5D"/>
    <w:rsid w:val="0044657C"/>
    <w:rsid w:val="00480CAC"/>
    <w:rsid w:val="00483DDA"/>
    <w:rsid w:val="004A152B"/>
    <w:rsid w:val="004C6BB5"/>
    <w:rsid w:val="00510EFB"/>
    <w:rsid w:val="0051254C"/>
    <w:rsid w:val="0053578D"/>
    <w:rsid w:val="00547B35"/>
    <w:rsid w:val="0055103B"/>
    <w:rsid w:val="00573BEC"/>
    <w:rsid w:val="00597246"/>
    <w:rsid w:val="005B7DFF"/>
    <w:rsid w:val="005C2262"/>
    <w:rsid w:val="005E2299"/>
    <w:rsid w:val="005F6327"/>
    <w:rsid w:val="00602E6C"/>
    <w:rsid w:val="00604635"/>
    <w:rsid w:val="006147A3"/>
    <w:rsid w:val="00621E09"/>
    <w:rsid w:val="00623A6B"/>
    <w:rsid w:val="0063339F"/>
    <w:rsid w:val="00655CF9"/>
    <w:rsid w:val="00661932"/>
    <w:rsid w:val="00663273"/>
    <w:rsid w:val="00674718"/>
    <w:rsid w:val="00675CF6"/>
    <w:rsid w:val="00691B21"/>
    <w:rsid w:val="006B2982"/>
    <w:rsid w:val="006C02F7"/>
    <w:rsid w:val="006D26DD"/>
    <w:rsid w:val="006D2D79"/>
    <w:rsid w:val="006D7471"/>
    <w:rsid w:val="006E7C29"/>
    <w:rsid w:val="006F5452"/>
    <w:rsid w:val="007248A0"/>
    <w:rsid w:val="007625FE"/>
    <w:rsid w:val="00791271"/>
    <w:rsid w:val="007A293F"/>
    <w:rsid w:val="007B5393"/>
    <w:rsid w:val="007C3C00"/>
    <w:rsid w:val="007E689D"/>
    <w:rsid w:val="008078C0"/>
    <w:rsid w:val="008172AB"/>
    <w:rsid w:val="00840850"/>
    <w:rsid w:val="00842436"/>
    <w:rsid w:val="008856F8"/>
    <w:rsid w:val="00891825"/>
    <w:rsid w:val="008D2685"/>
    <w:rsid w:val="008D5551"/>
    <w:rsid w:val="00900778"/>
    <w:rsid w:val="00912B6F"/>
    <w:rsid w:val="0092151C"/>
    <w:rsid w:val="0094106E"/>
    <w:rsid w:val="00955FFD"/>
    <w:rsid w:val="00984449"/>
    <w:rsid w:val="00984996"/>
    <w:rsid w:val="009876A4"/>
    <w:rsid w:val="009B11F2"/>
    <w:rsid w:val="009E292D"/>
    <w:rsid w:val="00A272E5"/>
    <w:rsid w:val="00A566B3"/>
    <w:rsid w:val="00A62AD4"/>
    <w:rsid w:val="00A62DE4"/>
    <w:rsid w:val="00A63E63"/>
    <w:rsid w:val="00A83F67"/>
    <w:rsid w:val="00A86CB5"/>
    <w:rsid w:val="00A945EE"/>
    <w:rsid w:val="00AA3AC2"/>
    <w:rsid w:val="00AA6406"/>
    <w:rsid w:val="00AC7F24"/>
    <w:rsid w:val="00AF59BD"/>
    <w:rsid w:val="00B02AB0"/>
    <w:rsid w:val="00B049A7"/>
    <w:rsid w:val="00B17A07"/>
    <w:rsid w:val="00B83AED"/>
    <w:rsid w:val="00B862AA"/>
    <w:rsid w:val="00BA21E7"/>
    <w:rsid w:val="00BA5EC1"/>
    <w:rsid w:val="00BB7380"/>
    <w:rsid w:val="00BD5971"/>
    <w:rsid w:val="00BF6D9A"/>
    <w:rsid w:val="00C02254"/>
    <w:rsid w:val="00C17422"/>
    <w:rsid w:val="00C30A7F"/>
    <w:rsid w:val="00C437F0"/>
    <w:rsid w:val="00C63EEC"/>
    <w:rsid w:val="00C73579"/>
    <w:rsid w:val="00C74215"/>
    <w:rsid w:val="00C74E5B"/>
    <w:rsid w:val="00C820AD"/>
    <w:rsid w:val="00C846F3"/>
    <w:rsid w:val="00C97125"/>
    <w:rsid w:val="00CB7804"/>
    <w:rsid w:val="00CC009B"/>
    <w:rsid w:val="00CC3B89"/>
    <w:rsid w:val="00CF5BCF"/>
    <w:rsid w:val="00D345CC"/>
    <w:rsid w:val="00D4379D"/>
    <w:rsid w:val="00D70D6B"/>
    <w:rsid w:val="00D71419"/>
    <w:rsid w:val="00D91B70"/>
    <w:rsid w:val="00DB195B"/>
    <w:rsid w:val="00DC499A"/>
    <w:rsid w:val="00DD125B"/>
    <w:rsid w:val="00DF0759"/>
    <w:rsid w:val="00DF33B5"/>
    <w:rsid w:val="00E056F0"/>
    <w:rsid w:val="00E17960"/>
    <w:rsid w:val="00E27C48"/>
    <w:rsid w:val="00E544D1"/>
    <w:rsid w:val="00E62F75"/>
    <w:rsid w:val="00E85770"/>
    <w:rsid w:val="00E86F40"/>
    <w:rsid w:val="00E92E06"/>
    <w:rsid w:val="00E9616F"/>
    <w:rsid w:val="00EA4B14"/>
    <w:rsid w:val="00F176B5"/>
    <w:rsid w:val="00F42316"/>
    <w:rsid w:val="00F52CC8"/>
    <w:rsid w:val="00F73772"/>
    <w:rsid w:val="00FA5A23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.atlant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asisatl.us1.list-manage.com/track/click?u=101fedd301a4ec43c7dc7dec4&amp;id=9cdc6cb918&amp;e=010f8f5b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satl.us1.list-manage.com/track/click?u=101fedd301a4ec43c7dc7dec4&amp;id=9cdc6cb918&amp;e=010f8f5b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isatl.us1.list-manage.com/track/click?u=101fedd301a4ec43c7dc7dec4&amp;id=9cdc6cb918&amp;e=010f8f5b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satl.org/lead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427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10</cp:revision>
  <dcterms:created xsi:type="dcterms:W3CDTF">2021-02-21T16:04:00Z</dcterms:created>
  <dcterms:modified xsi:type="dcterms:W3CDTF">2021-06-06T21:18:00Z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